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Arial"/>
          <w:sz w:val="30"/>
          <w:szCs w:val="30"/>
        </w:rPr>
        <w:t>嘉兴市市区快速路工程（三期二阶段）见证取样、实体检测服务项目中标人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嘉兴市市区快速路工程（三期二阶段）见证取样、实体检测服务项目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二阶段）采用“主线高架+地面辅道”建设形式，主线高架采用城市快速路标准，地面辅道三环东路段采用一级公路兼顾城市主干路标准，茶园路改造采用城市主干路标准。主线高架中环北路城东路口至三环东路广益路口段长约7.6公里，及地面辅道三环东路公铁立交南侧至广益路段长约5公里，同步改造实施茶园路约350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嘉兴市建设工程质量检测有限公司（联合体牵头人）、浙江浙交检测技术有限公司（联合体成员）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6727096元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王俊峰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高级工程师（证书编号：G</w:t>
            </w:r>
            <w:r>
              <w:rPr>
                <w:rFonts w:ascii="宋体" w:hAnsi="宋体" w:eastAsia="宋体"/>
                <w:szCs w:val="21"/>
              </w:rPr>
              <w:t>3300347327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建设工程检测人员培训合格证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（证书编号：浙质检0</w:t>
            </w:r>
            <w:r>
              <w:rPr>
                <w:rFonts w:ascii="宋体" w:hAnsi="宋体" w:eastAsia="宋体"/>
                <w:szCs w:val="21"/>
              </w:rPr>
              <w:t>11481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自检测服务合同签订之日起至嘉兴市市区快速路环线工程（三期二阶段）工程竣工验收为止。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widowControl/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具有独立法人资格；①具有建设工程质量检测机构资质（须包含见证取样检测（通用）、主体结构工程现场检测、地基基础工程检测、市政桥梁检测）证书</w:t>
            </w:r>
            <w:r>
              <w:rPr>
                <w:rFonts w:ascii="宋体" w:hAnsi="宋体" w:eastAsia="宋体"/>
                <w:szCs w:val="21"/>
              </w:rPr>
              <w:t>,省级及以上技术监督局颁发的计量认证证书（CMA证书）；②具有交通运输部门核发的公路工程综合甲级工程试验检测机构,省级及以上技术监督局颁发的计量认证证书（CMA证书）；</w:t>
            </w:r>
          </w:p>
          <w:p>
            <w:pPr>
              <w:widowControl/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1：嘉兴市市区快速路环线工程（一期）土建3标；签订时间：2019年7月18日；合同金额：717.8万元；</w:t>
            </w:r>
          </w:p>
          <w:p>
            <w:pPr>
              <w:widowControl/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2：嘉兴市市区快速路环线工程（一期）土建2标；签订时间：2019年4月15日；合同金额：412.82万元；</w:t>
            </w:r>
          </w:p>
          <w:p>
            <w:pPr>
              <w:widowControl/>
              <w:spacing w:line="276" w:lineRule="auto"/>
              <w:ind w:firstLine="420" w:firstLineChars="2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业绩</w:t>
            </w:r>
            <w:r>
              <w:rPr>
                <w:rFonts w:ascii="宋体" w:hAnsi="宋体" w:eastAsia="宋体"/>
                <w:szCs w:val="21"/>
              </w:rPr>
              <w:t>3：嘉兴市市区快速路环线工程（一期）土建5标；签订时间：2019年4月18日；合同金额：418.13万元。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2023年8月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9E87796"/>
    <w:rsid w:val="20D6154E"/>
    <w:rsid w:val="3EDD48FE"/>
    <w:rsid w:val="449725C4"/>
    <w:rsid w:val="4B067BC8"/>
    <w:rsid w:val="55B36F68"/>
    <w:rsid w:val="57163441"/>
    <w:rsid w:val="65844AAE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2</TotalTime>
  <ScaleCrop>false</ScaleCrop>
  <LinksUpToDate>false</LinksUpToDate>
  <CharactersWithSpaces>816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带泪的鱼*^o^*</cp:lastModifiedBy>
  <cp:lastPrinted>2022-11-17T02:31:00Z</cp:lastPrinted>
  <dcterms:modified xsi:type="dcterms:W3CDTF">2023-08-15T03:36:02Z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1E599CBE4BFC4A74B751FDFB66BB1B8F</vt:lpwstr>
  </property>
</Properties>
</file>