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left="402"/>
        <w:rPr>
          <w:rFonts w:asciiTheme="minorEastAsia" w:hAnsiTheme="minorEastAsia" w:eastAsiaTheme="minorEastAsia"/>
        </w:rPr>
      </w:pPr>
      <w:bookmarkStart w:id="0" w:name="_Toc98019223"/>
      <w:bookmarkStart w:id="1" w:name="_Hlk104999974"/>
      <w:r>
        <w:rPr>
          <w:rFonts w:hint="eastAsia" w:asciiTheme="minorEastAsia" w:hAnsiTheme="minorEastAsia" w:eastAsiaTheme="minorEastAsia"/>
        </w:rPr>
        <w:t>嘉兴市交通投资集团有限责任公司2024年（第一期）资金竞争性存放项目公开招标公告</w:t>
      </w:r>
      <w:bookmarkEnd w:id="0"/>
    </w:p>
    <w:p>
      <w:pPr>
        <w:pStyle w:val="4"/>
        <w:spacing w:before="0" w:beforeAutospacing="0" w:after="156" w:afterAutospacing="0" w:line="360" w:lineRule="atLeast"/>
        <w:ind w:left="45" w:right="90" w:firstLine="435"/>
        <w:textAlignment w:val="baseline"/>
        <w:rPr>
          <w:sz w:val="21"/>
          <w:szCs w:val="21"/>
        </w:rPr>
      </w:pPr>
      <w:r>
        <w:rPr>
          <w:sz w:val="21"/>
          <w:szCs w:val="21"/>
        </w:rPr>
        <w:t>根据《关于防止领导干部在公款存放方面发生利益冲突和利益输送的办法》(浙委办发〔2015〕8号)及嘉兴市国资委关于印发《嘉兴市属国有企业资金信用监督管理暂行办法</w:t>
      </w:r>
      <w:r>
        <w:rPr>
          <w:rFonts w:hint="eastAsia"/>
          <w:sz w:val="21"/>
          <w:szCs w:val="21"/>
        </w:rPr>
        <w:t>》（</w:t>
      </w:r>
      <w:r>
        <w:rPr>
          <w:sz w:val="21"/>
          <w:szCs w:val="21"/>
        </w:rPr>
        <w:t>嘉国资〔2023〕17号</w:t>
      </w:r>
      <w:r>
        <w:rPr>
          <w:rFonts w:hint="eastAsia"/>
          <w:sz w:val="21"/>
          <w:szCs w:val="21"/>
        </w:rPr>
        <w:t>）等相关文件</w:t>
      </w:r>
      <w:r>
        <w:rPr>
          <w:sz w:val="21"/>
          <w:szCs w:val="21"/>
        </w:rPr>
        <w:t>的规定，现就嘉兴市交通投资集团有限责任公司2024年（第一期）资金竞争性存放项目进行公开招标，欢迎符合条件的银行机构参加投标</w:t>
      </w:r>
      <w:r>
        <w:rPr>
          <w:rFonts w:hint="eastAsia"/>
          <w:sz w:val="21"/>
          <w:szCs w:val="21"/>
        </w:rPr>
        <w:t>。</w:t>
      </w:r>
    </w:p>
    <w:p>
      <w:pPr>
        <w:pStyle w:val="4"/>
        <w:numPr>
          <w:ilvl w:val="0"/>
          <w:numId w:val="1"/>
        </w:numPr>
        <w:tabs>
          <w:tab w:val="left" w:pos="993"/>
        </w:tabs>
        <w:spacing w:before="0" w:beforeAutospacing="0" w:after="156" w:afterAutospacing="0" w:line="360" w:lineRule="atLeast"/>
        <w:ind w:left="0" w:firstLine="426"/>
        <w:textAlignment w:val="baseline"/>
        <w:rPr>
          <w:b/>
          <w:bCs/>
          <w:sz w:val="21"/>
          <w:szCs w:val="21"/>
        </w:rPr>
      </w:pPr>
      <w:r>
        <w:rPr>
          <w:rStyle w:val="8"/>
          <w:rFonts w:hint="eastAsia"/>
          <w:sz w:val="21"/>
          <w:szCs w:val="21"/>
        </w:rPr>
        <w:t>项目名称：</w:t>
      </w:r>
      <w:r>
        <w:rPr>
          <w:rFonts w:hint="eastAsia"/>
          <w:sz w:val="21"/>
          <w:szCs w:val="21"/>
        </w:rPr>
        <w:t>嘉兴市交通投资集团有限责任公司2024年（第一期）资金竞争性存放项目</w:t>
      </w:r>
    </w:p>
    <w:p>
      <w:pPr>
        <w:pStyle w:val="4"/>
        <w:numPr>
          <w:ilvl w:val="0"/>
          <w:numId w:val="1"/>
        </w:numPr>
        <w:tabs>
          <w:tab w:val="left" w:pos="993"/>
        </w:tabs>
        <w:spacing w:before="0" w:beforeAutospacing="0" w:after="156" w:afterAutospacing="0" w:line="360" w:lineRule="atLeast"/>
        <w:ind w:left="0" w:firstLine="426"/>
        <w:textAlignment w:val="baseline"/>
        <w:rPr>
          <w:sz w:val="21"/>
          <w:szCs w:val="21"/>
        </w:rPr>
      </w:pPr>
      <w:r>
        <w:rPr>
          <w:rStyle w:val="8"/>
          <w:rFonts w:hint="eastAsia"/>
          <w:sz w:val="21"/>
          <w:szCs w:val="21"/>
        </w:rPr>
        <w:t>项目编号：</w:t>
      </w:r>
      <w:r>
        <w:rPr>
          <w:rFonts w:hint="eastAsia"/>
          <w:sz w:val="21"/>
          <w:szCs w:val="21"/>
        </w:rPr>
        <w:t>嘉通竞存﹝2024﹞1号</w:t>
      </w:r>
    </w:p>
    <w:p>
      <w:pPr>
        <w:pStyle w:val="4"/>
        <w:numPr>
          <w:ilvl w:val="0"/>
          <w:numId w:val="1"/>
        </w:numPr>
        <w:tabs>
          <w:tab w:val="left" w:pos="993"/>
        </w:tabs>
        <w:spacing w:before="0" w:beforeAutospacing="0" w:after="156" w:afterAutospacing="0" w:line="360" w:lineRule="atLeast"/>
        <w:ind w:left="0" w:firstLine="426"/>
        <w:textAlignment w:val="baseline"/>
        <w:rPr>
          <w:rStyle w:val="8"/>
          <w:sz w:val="21"/>
          <w:szCs w:val="21"/>
        </w:rPr>
      </w:pPr>
      <w:r>
        <w:rPr>
          <w:rStyle w:val="8"/>
          <w:rFonts w:hint="eastAsia"/>
          <w:sz w:val="21"/>
          <w:szCs w:val="21"/>
        </w:rPr>
        <w:t>招标项目内容:</w:t>
      </w:r>
    </w:p>
    <w:tbl>
      <w:tblPr>
        <w:tblStyle w:val="6"/>
        <w:tblW w:w="798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2430"/>
        <w:gridCol w:w="1281"/>
        <w:gridCol w:w="1268"/>
        <w:gridCol w:w="1310"/>
        <w:gridCol w:w="1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atLeast"/>
        </w:trPr>
        <w:tc>
          <w:tcPr>
            <w:tcW w:w="2430" w:type="dxa"/>
            <w:tcMar>
              <w:top w:w="0" w:type="dxa"/>
              <w:left w:w="105" w:type="dxa"/>
              <w:bottom w:w="0" w:type="dxa"/>
              <w:right w:w="105" w:type="dxa"/>
            </w:tcMar>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资金存放单位</w:t>
            </w:r>
          </w:p>
        </w:tc>
        <w:tc>
          <w:tcPr>
            <w:tcW w:w="1281"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存放项目</w:t>
            </w:r>
          </w:p>
        </w:tc>
        <w:tc>
          <w:tcPr>
            <w:tcW w:w="1268" w:type="dxa"/>
            <w:tcMar>
              <w:top w:w="0" w:type="dxa"/>
              <w:left w:w="105" w:type="dxa"/>
              <w:bottom w:w="0" w:type="dxa"/>
              <w:right w:w="105" w:type="dxa"/>
            </w:tcMar>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存款额度(万元)</w:t>
            </w:r>
          </w:p>
        </w:tc>
        <w:tc>
          <w:tcPr>
            <w:tcW w:w="1310"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存放期限</w:t>
            </w:r>
          </w:p>
        </w:tc>
        <w:tc>
          <w:tcPr>
            <w:tcW w:w="1691"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存放方式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8" w:hRule="atLeast"/>
        </w:trPr>
        <w:tc>
          <w:tcPr>
            <w:tcW w:w="2430" w:type="dxa"/>
            <w:tcMar>
              <w:top w:w="0" w:type="dxa"/>
              <w:left w:w="105" w:type="dxa"/>
              <w:bottom w:w="0" w:type="dxa"/>
              <w:right w:w="105" w:type="dxa"/>
            </w:tcMar>
            <w:vAlign w:val="center"/>
          </w:tcPr>
          <w:p>
            <w:pPr>
              <w:widowControl/>
              <w:adjustRightInd w:val="0"/>
              <w:snapToGrid w:val="0"/>
              <w:jc w:val="center"/>
              <w:rPr>
                <w:rFonts w:ascii="宋体" w:hAnsi="宋体" w:cs="宋体"/>
                <w:kern w:val="0"/>
                <w:szCs w:val="21"/>
              </w:rPr>
            </w:pPr>
            <w:r>
              <w:rPr>
                <w:rFonts w:hint="eastAsia" w:ascii="宋体" w:hAnsi="宋体"/>
                <w:szCs w:val="21"/>
              </w:rPr>
              <w:t>嘉兴市高等级公路投资有限公司</w:t>
            </w:r>
          </w:p>
        </w:tc>
        <w:tc>
          <w:tcPr>
            <w:tcW w:w="1281" w:type="dxa"/>
            <w:vAlign w:val="center"/>
          </w:tcPr>
          <w:p>
            <w:pPr>
              <w:adjustRightInd w:val="0"/>
              <w:snapToGrid w:val="0"/>
              <w:spacing w:line="360" w:lineRule="auto"/>
              <w:jc w:val="center"/>
              <w:rPr>
                <w:rFonts w:ascii="宋体" w:hAnsi="宋体" w:cs="宋体"/>
                <w:kern w:val="0"/>
                <w:szCs w:val="21"/>
              </w:rPr>
            </w:pPr>
            <w:r>
              <w:rPr>
                <w:rFonts w:hint="eastAsia" w:ascii="宋体" w:hAnsi="宋体"/>
                <w:szCs w:val="21"/>
              </w:rPr>
              <w:t>存放项目一</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不少于90天</w:t>
            </w:r>
          </w:p>
        </w:tc>
        <w:tc>
          <w:tcPr>
            <w:tcW w:w="1691" w:type="dxa"/>
            <w:vMerge w:val="restart"/>
            <w:vAlign w:val="center"/>
          </w:tcPr>
          <w:p>
            <w:pPr>
              <w:widowControl/>
              <w:adjustRightInd w:val="0"/>
              <w:snapToGrid w:val="0"/>
              <w:jc w:val="center"/>
              <w:rPr>
                <w:rFonts w:ascii="宋体" w:hAnsi="宋体" w:cs="宋体"/>
                <w:kern w:val="0"/>
                <w:szCs w:val="21"/>
              </w:rPr>
            </w:pPr>
          </w:p>
          <w:p>
            <w:pPr>
              <w:widowControl/>
              <w:adjustRightInd w:val="0"/>
              <w:snapToGrid w:val="0"/>
              <w:jc w:val="center"/>
              <w:rPr>
                <w:rFonts w:ascii="宋体" w:hAnsi="宋体" w:cs="宋体"/>
                <w:kern w:val="0"/>
                <w:szCs w:val="21"/>
              </w:rPr>
            </w:pPr>
            <w:r>
              <w:rPr>
                <w:rFonts w:hint="eastAsia" w:ascii="宋体" w:hAnsi="宋体" w:cs="宋体"/>
                <w:kern w:val="0"/>
                <w:szCs w:val="21"/>
              </w:rPr>
              <w:t>可采用活期（含活期产品）、协定存款、通知存款、定期存款、</w:t>
            </w:r>
            <w:r>
              <w:rPr>
                <w:rFonts w:hint="eastAsia" w:ascii="宋体" w:hAnsi="宋体"/>
                <w:szCs w:val="21"/>
              </w:rPr>
              <w:t>大额可转让存单等；理财产品除外</w:t>
            </w:r>
          </w:p>
          <w:p>
            <w:pPr>
              <w:adjustRightInd w:val="0"/>
              <w:snapToGrid w:val="0"/>
              <w:spacing w:line="360" w:lineRule="auto"/>
              <w:jc w:val="center"/>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9" w:hRule="atLeast"/>
        </w:trPr>
        <w:tc>
          <w:tcPr>
            <w:tcW w:w="2430" w:type="dxa"/>
            <w:tcMar>
              <w:top w:w="0" w:type="dxa"/>
              <w:left w:w="105" w:type="dxa"/>
              <w:bottom w:w="0" w:type="dxa"/>
              <w:right w:w="105" w:type="dxa"/>
            </w:tcMar>
            <w:vAlign w:val="center"/>
          </w:tcPr>
          <w:p>
            <w:pPr>
              <w:adjustRightInd w:val="0"/>
              <w:snapToGrid w:val="0"/>
              <w:jc w:val="center"/>
              <w:rPr>
                <w:rFonts w:ascii="宋体" w:hAnsi="宋体" w:cs="宋体"/>
                <w:kern w:val="0"/>
                <w:szCs w:val="21"/>
              </w:rPr>
            </w:pPr>
            <w:r>
              <w:rPr>
                <w:rFonts w:hint="eastAsia" w:ascii="宋体" w:hAnsi="宋体"/>
                <w:szCs w:val="21"/>
              </w:rPr>
              <w:t>嘉兴市高等级公路投资有限公司</w:t>
            </w:r>
          </w:p>
        </w:tc>
        <w:tc>
          <w:tcPr>
            <w:tcW w:w="1281" w:type="dxa"/>
            <w:vAlign w:val="center"/>
          </w:tcPr>
          <w:p>
            <w:pPr>
              <w:adjustRightInd w:val="0"/>
              <w:snapToGrid w:val="0"/>
              <w:spacing w:line="360" w:lineRule="auto"/>
              <w:jc w:val="center"/>
              <w:rPr>
                <w:rFonts w:ascii="宋体" w:hAnsi="宋体" w:cs="宋体"/>
                <w:kern w:val="0"/>
                <w:szCs w:val="21"/>
              </w:rPr>
            </w:pPr>
            <w:r>
              <w:rPr>
                <w:rFonts w:hint="eastAsia" w:ascii="宋体" w:hAnsi="宋体"/>
                <w:szCs w:val="21"/>
              </w:rPr>
              <w:t>存放项目二</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10000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不少于90天</w:t>
            </w:r>
          </w:p>
        </w:tc>
        <w:tc>
          <w:tcPr>
            <w:tcW w:w="1691" w:type="dxa"/>
            <w:vMerge w:val="continue"/>
            <w:vAlign w:val="center"/>
          </w:tcPr>
          <w:p>
            <w:pPr>
              <w:adjustRightInd w:val="0"/>
              <w:snapToGrid w:val="0"/>
              <w:spacing w:line="360" w:lineRule="auto"/>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2430" w:type="dxa"/>
            <w:tcMar>
              <w:top w:w="0" w:type="dxa"/>
              <w:left w:w="105" w:type="dxa"/>
              <w:bottom w:w="0" w:type="dxa"/>
              <w:right w:w="105" w:type="dxa"/>
            </w:tcMar>
            <w:vAlign w:val="center"/>
          </w:tcPr>
          <w:p>
            <w:pPr>
              <w:adjustRightInd w:val="0"/>
              <w:snapToGrid w:val="0"/>
              <w:jc w:val="center"/>
              <w:rPr>
                <w:rFonts w:ascii="宋体" w:hAnsi="宋体" w:cs="宋体"/>
                <w:kern w:val="0"/>
                <w:szCs w:val="21"/>
              </w:rPr>
            </w:pPr>
            <w:r>
              <w:rPr>
                <w:rFonts w:hint="eastAsia" w:ascii="宋体" w:hAnsi="宋体"/>
                <w:szCs w:val="21"/>
              </w:rPr>
              <w:t>嘉兴市高等级公路投资有限公司</w:t>
            </w:r>
          </w:p>
        </w:tc>
        <w:tc>
          <w:tcPr>
            <w:tcW w:w="1281" w:type="dxa"/>
            <w:vAlign w:val="center"/>
          </w:tcPr>
          <w:p>
            <w:pPr>
              <w:adjustRightInd w:val="0"/>
              <w:snapToGrid w:val="0"/>
              <w:spacing w:line="360" w:lineRule="auto"/>
              <w:jc w:val="center"/>
              <w:rPr>
                <w:rFonts w:ascii="宋体" w:hAnsi="宋体"/>
                <w:szCs w:val="21"/>
              </w:rPr>
            </w:pPr>
            <w:r>
              <w:rPr>
                <w:rFonts w:hint="eastAsia" w:ascii="宋体" w:hAnsi="宋体"/>
                <w:szCs w:val="21"/>
              </w:rPr>
              <w:t>存放项目三</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不少于75天</w:t>
            </w:r>
          </w:p>
        </w:tc>
        <w:tc>
          <w:tcPr>
            <w:tcW w:w="1691" w:type="dxa"/>
            <w:vMerge w:val="continue"/>
            <w:vAlign w:val="center"/>
          </w:tcPr>
          <w:p>
            <w:pPr>
              <w:adjustRightInd w:val="0"/>
              <w:snapToGrid w:val="0"/>
              <w:spacing w:line="360" w:lineRule="auto"/>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2" w:hRule="atLeast"/>
        </w:trPr>
        <w:tc>
          <w:tcPr>
            <w:tcW w:w="2430" w:type="dxa"/>
            <w:tcMar>
              <w:top w:w="0" w:type="dxa"/>
              <w:left w:w="105" w:type="dxa"/>
              <w:bottom w:w="0" w:type="dxa"/>
              <w:right w:w="105" w:type="dxa"/>
            </w:tcMar>
            <w:vAlign w:val="center"/>
          </w:tcPr>
          <w:p>
            <w:pPr>
              <w:adjustRightInd w:val="0"/>
              <w:snapToGrid w:val="0"/>
              <w:jc w:val="center"/>
              <w:rPr>
                <w:rFonts w:ascii="宋体" w:hAnsi="宋体" w:cs="宋体"/>
                <w:kern w:val="0"/>
                <w:szCs w:val="21"/>
              </w:rPr>
            </w:pPr>
            <w:r>
              <w:rPr>
                <w:rFonts w:hint="eastAsia" w:ascii="宋体" w:hAnsi="宋体"/>
                <w:szCs w:val="21"/>
              </w:rPr>
              <w:t>嘉兴市快速路建设发展有限公司</w:t>
            </w:r>
          </w:p>
        </w:tc>
        <w:tc>
          <w:tcPr>
            <w:tcW w:w="1281" w:type="dxa"/>
            <w:vAlign w:val="center"/>
          </w:tcPr>
          <w:p>
            <w:pPr>
              <w:adjustRightInd w:val="0"/>
              <w:snapToGrid w:val="0"/>
              <w:spacing w:line="360" w:lineRule="auto"/>
              <w:jc w:val="center"/>
              <w:rPr>
                <w:rFonts w:ascii="宋体" w:hAnsi="宋体"/>
                <w:szCs w:val="21"/>
              </w:rPr>
            </w:pPr>
            <w:r>
              <w:rPr>
                <w:rFonts w:hint="eastAsia" w:ascii="宋体" w:hAnsi="宋体"/>
                <w:szCs w:val="21"/>
              </w:rPr>
              <w:t>存放项目四</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不少于60天</w:t>
            </w:r>
          </w:p>
        </w:tc>
        <w:tc>
          <w:tcPr>
            <w:tcW w:w="1691" w:type="dxa"/>
            <w:vMerge w:val="continue"/>
            <w:vAlign w:val="center"/>
          </w:tcPr>
          <w:p>
            <w:pPr>
              <w:adjustRightInd w:val="0"/>
              <w:snapToGrid w:val="0"/>
              <w:spacing w:line="360" w:lineRule="auto"/>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6" w:hRule="atLeast"/>
        </w:trPr>
        <w:tc>
          <w:tcPr>
            <w:tcW w:w="2430" w:type="dxa"/>
            <w:tcMar>
              <w:top w:w="0" w:type="dxa"/>
              <w:left w:w="105" w:type="dxa"/>
              <w:bottom w:w="0" w:type="dxa"/>
              <w:right w:w="105" w:type="dxa"/>
            </w:tcMar>
            <w:vAlign w:val="center"/>
          </w:tcPr>
          <w:p>
            <w:pPr>
              <w:adjustRightInd w:val="0"/>
              <w:snapToGrid w:val="0"/>
              <w:jc w:val="center"/>
              <w:rPr>
                <w:rFonts w:ascii="宋体" w:hAnsi="宋体" w:cs="宋体"/>
                <w:kern w:val="0"/>
                <w:szCs w:val="21"/>
              </w:rPr>
            </w:pPr>
            <w:r>
              <w:rPr>
                <w:rFonts w:hint="eastAsia" w:ascii="宋体" w:hAnsi="宋体"/>
                <w:szCs w:val="21"/>
              </w:rPr>
              <w:t>嘉兴市高等级公路投资有限公司</w:t>
            </w:r>
          </w:p>
        </w:tc>
        <w:tc>
          <w:tcPr>
            <w:tcW w:w="1281" w:type="dxa"/>
            <w:vAlign w:val="center"/>
          </w:tcPr>
          <w:p>
            <w:pPr>
              <w:adjustRightInd w:val="0"/>
              <w:snapToGrid w:val="0"/>
              <w:spacing w:line="360" w:lineRule="auto"/>
              <w:jc w:val="center"/>
              <w:rPr>
                <w:rFonts w:ascii="宋体" w:hAnsi="宋体"/>
                <w:szCs w:val="21"/>
              </w:rPr>
            </w:pPr>
            <w:r>
              <w:rPr>
                <w:rFonts w:hint="eastAsia" w:ascii="宋体" w:hAnsi="宋体"/>
                <w:szCs w:val="21"/>
              </w:rPr>
              <w:t>存放项目五</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不少于45天</w:t>
            </w:r>
          </w:p>
        </w:tc>
        <w:tc>
          <w:tcPr>
            <w:tcW w:w="1691" w:type="dxa"/>
            <w:vMerge w:val="continue"/>
            <w:vAlign w:val="center"/>
          </w:tcPr>
          <w:p>
            <w:pPr>
              <w:adjustRightInd w:val="0"/>
              <w:snapToGrid w:val="0"/>
              <w:spacing w:line="360" w:lineRule="auto"/>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5" w:hRule="atLeast"/>
        </w:trPr>
        <w:tc>
          <w:tcPr>
            <w:tcW w:w="2430" w:type="dxa"/>
            <w:tcMar>
              <w:top w:w="0" w:type="dxa"/>
              <w:left w:w="105" w:type="dxa"/>
              <w:bottom w:w="0" w:type="dxa"/>
              <w:right w:w="105" w:type="dxa"/>
            </w:tcMar>
            <w:vAlign w:val="center"/>
          </w:tcPr>
          <w:p>
            <w:pPr>
              <w:adjustRightInd w:val="0"/>
              <w:snapToGrid w:val="0"/>
              <w:jc w:val="center"/>
              <w:rPr>
                <w:rFonts w:ascii="宋体" w:hAnsi="宋体" w:cs="宋体"/>
                <w:kern w:val="0"/>
                <w:szCs w:val="21"/>
              </w:rPr>
            </w:pPr>
            <w:r>
              <w:rPr>
                <w:rFonts w:hint="eastAsia" w:ascii="宋体" w:hAnsi="宋体"/>
                <w:szCs w:val="21"/>
              </w:rPr>
              <w:t>嘉兴市高等级公路投资有限公司</w:t>
            </w:r>
          </w:p>
        </w:tc>
        <w:tc>
          <w:tcPr>
            <w:tcW w:w="1281" w:type="dxa"/>
            <w:vAlign w:val="center"/>
          </w:tcPr>
          <w:p>
            <w:pPr>
              <w:adjustRightInd w:val="0"/>
              <w:snapToGrid w:val="0"/>
              <w:spacing w:line="360" w:lineRule="auto"/>
              <w:jc w:val="center"/>
              <w:rPr>
                <w:rFonts w:ascii="宋体" w:hAnsi="宋体"/>
                <w:szCs w:val="21"/>
              </w:rPr>
            </w:pPr>
            <w:r>
              <w:rPr>
                <w:rFonts w:hint="eastAsia" w:ascii="宋体" w:hAnsi="宋体"/>
                <w:szCs w:val="21"/>
              </w:rPr>
              <w:t>存放项目六</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10000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不少于45天</w:t>
            </w:r>
          </w:p>
        </w:tc>
        <w:tc>
          <w:tcPr>
            <w:tcW w:w="1691" w:type="dxa"/>
            <w:vMerge w:val="continue"/>
            <w:vAlign w:val="center"/>
          </w:tcPr>
          <w:p>
            <w:pPr>
              <w:adjustRightInd w:val="0"/>
              <w:snapToGrid w:val="0"/>
              <w:spacing w:line="360" w:lineRule="auto"/>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2430" w:type="dxa"/>
            <w:tcMar>
              <w:top w:w="0" w:type="dxa"/>
              <w:left w:w="105" w:type="dxa"/>
              <w:bottom w:w="0" w:type="dxa"/>
              <w:right w:w="105" w:type="dxa"/>
            </w:tcMar>
            <w:vAlign w:val="center"/>
          </w:tcPr>
          <w:p>
            <w:pPr>
              <w:adjustRightInd w:val="0"/>
              <w:snapToGrid w:val="0"/>
              <w:jc w:val="center"/>
              <w:rPr>
                <w:rFonts w:ascii="宋体" w:hAnsi="宋体" w:cs="宋体"/>
                <w:kern w:val="0"/>
                <w:szCs w:val="21"/>
              </w:rPr>
            </w:pPr>
            <w:r>
              <w:rPr>
                <w:rFonts w:hint="eastAsia" w:ascii="宋体" w:hAnsi="宋体"/>
                <w:szCs w:val="21"/>
              </w:rPr>
              <w:t>嘉兴市高等级公路投资有限公司</w:t>
            </w:r>
          </w:p>
        </w:tc>
        <w:tc>
          <w:tcPr>
            <w:tcW w:w="1281" w:type="dxa"/>
            <w:vAlign w:val="center"/>
          </w:tcPr>
          <w:p>
            <w:pPr>
              <w:adjustRightInd w:val="0"/>
              <w:snapToGrid w:val="0"/>
              <w:spacing w:line="360" w:lineRule="auto"/>
              <w:jc w:val="center"/>
              <w:rPr>
                <w:rFonts w:ascii="宋体" w:hAnsi="宋体"/>
                <w:szCs w:val="21"/>
              </w:rPr>
            </w:pPr>
            <w:r>
              <w:rPr>
                <w:rFonts w:hint="eastAsia" w:ascii="宋体" w:hAnsi="宋体"/>
                <w:szCs w:val="21"/>
              </w:rPr>
              <w:t>存放项目七</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不少于30天</w:t>
            </w:r>
          </w:p>
        </w:tc>
        <w:tc>
          <w:tcPr>
            <w:tcW w:w="1691" w:type="dxa"/>
            <w:vMerge w:val="continue"/>
            <w:vAlign w:val="center"/>
          </w:tcPr>
          <w:p>
            <w:pPr>
              <w:adjustRightInd w:val="0"/>
              <w:snapToGrid w:val="0"/>
              <w:spacing w:line="360" w:lineRule="auto"/>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2430" w:type="dxa"/>
            <w:tcMar>
              <w:top w:w="0" w:type="dxa"/>
              <w:left w:w="105" w:type="dxa"/>
              <w:bottom w:w="0" w:type="dxa"/>
              <w:right w:w="105" w:type="dxa"/>
            </w:tcMar>
            <w:vAlign w:val="center"/>
          </w:tcPr>
          <w:p>
            <w:pPr>
              <w:adjustRightInd w:val="0"/>
              <w:snapToGrid w:val="0"/>
              <w:jc w:val="center"/>
              <w:rPr>
                <w:rFonts w:ascii="宋体" w:hAnsi="宋体"/>
                <w:szCs w:val="21"/>
              </w:rPr>
            </w:pPr>
            <w:r>
              <w:rPr>
                <w:rFonts w:hint="eastAsia" w:ascii="宋体" w:hAnsi="宋体"/>
                <w:szCs w:val="21"/>
              </w:rPr>
              <w:t>嘉兴市快速路建设发展有限公司</w:t>
            </w:r>
          </w:p>
        </w:tc>
        <w:tc>
          <w:tcPr>
            <w:tcW w:w="1281" w:type="dxa"/>
            <w:vAlign w:val="center"/>
          </w:tcPr>
          <w:p>
            <w:pPr>
              <w:adjustRightInd w:val="0"/>
              <w:snapToGrid w:val="0"/>
              <w:spacing w:line="360" w:lineRule="auto"/>
              <w:jc w:val="center"/>
              <w:rPr>
                <w:rFonts w:ascii="宋体" w:hAnsi="宋体"/>
                <w:szCs w:val="21"/>
              </w:rPr>
            </w:pPr>
            <w:r>
              <w:rPr>
                <w:rFonts w:hint="eastAsia" w:ascii="宋体" w:hAnsi="宋体"/>
                <w:szCs w:val="21"/>
              </w:rPr>
              <w:t>存放项目八</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20000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不少于30天</w:t>
            </w:r>
          </w:p>
        </w:tc>
        <w:tc>
          <w:tcPr>
            <w:tcW w:w="1691" w:type="dxa"/>
            <w:vMerge w:val="continue"/>
            <w:vAlign w:val="center"/>
          </w:tcPr>
          <w:p>
            <w:pPr>
              <w:adjustRightInd w:val="0"/>
              <w:snapToGrid w:val="0"/>
              <w:spacing w:line="360" w:lineRule="auto"/>
              <w:rPr>
                <w:rFonts w:ascii="宋体" w:hAnsi="宋体" w:cs="宋体"/>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2430" w:type="dxa"/>
            <w:tcMar>
              <w:top w:w="0" w:type="dxa"/>
              <w:left w:w="105" w:type="dxa"/>
              <w:bottom w:w="0" w:type="dxa"/>
              <w:right w:w="105" w:type="dxa"/>
            </w:tcMar>
            <w:vAlign w:val="center"/>
          </w:tcPr>
          <w:p>
            <w:pPr>
              <w:adjustRightInd w:val="0"/>
              <w:snapToGrid w:val="0"/>
              <w:jc w:val="center"/>
              <w:rPr>
                <w:rFonts w:ascii="宋体" w:hAnsi="宋体"/>
                <w:szCs w:val="21"/>
              </w:rPr>
            </w:pPr>
            <w:r>
              <w:rPr>
                <w:rFonts w:hint="eastAsia" w:ascii="宋体" w:hAnsi="宋体"/>
                <w:szCs w:val="21"/>
              </w:rPr>
              <w:t>嘉兴市嘉通新能源股份有限公司</w:t>
            </w:r>
          </w:p>
        </w:tc>
        <w:tc>
          <w:tcPr>
            <w:tcW w:w="1281" w:type="dxa"/>
            <w:vAlign w:val="center"/>
          </w:tcPr>
          <w:p>
            <w:pPr>
              <w:adjustRightInd w:val="0"/>
              <w:snapToGrid w:val="0"/>
              <w:spacing w:line="360" w:lineRule="auto"/>
              <w:jc w:val="center"/>
              <w:rPr>
                <w:rFonts w:ascii="宋体" w:hAnsi="宋体"/>
                <w:szCs w:val="21"/>
              </w:rPr>
            </w:pPr>
            <w:r>
              <w:rPr>
                <w:rFonts w:hint="eastAsia" w:ascii="宋体" w:hAnsi="宋体"/>
                <w:szCs w:val="21"/>
              </w:rPr>
              <w:t>存放项目九</w:t>
            </w:r>
          </w:p>
        </w:tc>
        <w:tc>
          <w:tcPr>
            <w:tcW w:w="1268" w:type="dxa"/>
            <w:tcMar>
              <w:top w:w="0" w:type="dxa"/>
              <w:left w:w="105" w:type="dxa"/>
              <w:bottom w:w="0" w:type="dxa"/>
              <w:right w:w="105" w:type="dxa"/>
            </w:tcMar>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500</w:t>
            </w:r>
          </w:p>
        </w:tc>
        <w:tc>
          <w:tcPr>
            <w:tcW w:w="1310"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kern w:val="0"/>
                <w:szCs w:val="21"/>
              </w:rPr>
              <w:t>6个月</w:t>
            </w:r>
          </w:p>
        </w:tc>
        <w:tc>
          <w:tcPr>
            <w:tcW w:w="1691" w:type="dxa"/>
            <w:vAlign w:val="center"/>
          </w:tcPr>
          <w:p>
            <w:pPr>
              <w:adjustRightInd w:val="0"/>
              <w:snapToGrid w:val="0"/>
              <w:spacing w:line="360" w:lineRule="auto"/>
              <w:rPr>
                <w:rFonts w:ascii="宋体" w:hAnsi="宋体" w:cs="宋体"/>
                <w:kern w:val="0"/>
                <w:szCs w:val="21"/>
              </w:rPr>
            </w:pPr>
            <w:r>
              <w:rPr>
                <w:rFonts w:hint="eastAsia" w:ascii="宋体" w:hAnsi="宋体" w:cs="宋体"/>
                <w:kern w:val="0"/>
                <w:szCs w:val="21"/>
              </w:rPr>
              <w:t>定期存款</w:t>
            </w:r>
          </w:p>
        </w:tc>
      </w:tr>
    </w:tbl>
    <w:p>
      <w:pPr>
        <w:pStyle w:val="4"/>
        <w:numPr>
          <w:ilvl w:val="0"/>
          <w:numId w:val="1"/>
        </w:numPr>
        <w:tabs>
          <w:tab w:val="left" w:pos="993"/>
        </w:tabs>
        <w:spacing w:before="0" w:beforeAutospacing="0" w:after="156" w:afterAutospacing="0" w:line="360" w:lineRule="atLeast"/>
        <w:ind w:left="0" w:firstLine="426"/>
        <w:textAlignment w:val="baseline"/>
        <w:rPr>
          <w:rStyle w:val="8"/>
          <w:sz w:val="21"/>
          <w:szCs w:val="21"/>
        </w:rPr>
      </w:pPr>
      <w:r>
        <w:rPr>
          <w:rStyle w:val="8"/>
          <w:rFonts w:hint="eastAsia"/>
          <w:sz w:val="21"/>
          <w:szCs w:val="21"/>
        </w:rPr>
        <w:t>投标人资格要求:</w:t>
      </w:r>
    </w:p>
    <w:p>
      <w:pPr>
        <w:numPr>
          <w:ilvl w:val="0"/>
          <w:numId w:val="2"/>
        </w:numPr>
        <w:spacing w:line="360" w:lineRule="auto"/>
        <w:ind w:left="0" w:firstLine="420" w:firstLineChars="200"/>
        <w:rPr>
          <w:rFonts w:hint="eastAsia" w:ascii="宋体" w:hAnsi="宋体" w:eastAsia="宋体" w:cs="宋体"/>
          <w:kern w:val="0"/>
          <w:sz w:val="21"/>
          <w:szCs w:val="21"/>
          <w:lang w:val="en-US" w:eastAsia="zh-CN" w:bidi="ar-SA"/>
        </w:rPr>
      </w:pPr>
      <w:bookmarkStart w:id="2" w:name="_Hlk159510576"/>
      <w:r>
        <w:rPr>
          <w:rFonts w:hint="eastAsia" w:ascii="宋体" w:hAnsi="宋体" w:eastAsia="宋体" w:cs="宋体"/>
          <w:kern w:val="0"/>
          <w:sz w:val="21"/>
          <w:szCs w:val="21"/>
          <w:lang w:val="en-US" w:eastAsia="zh-CN" w:bidi="ar-SA"/>
        </w:rPr>
        <w:t>在嘉兴市区设有分支机构，即在嘉兴市区设有总行或分行或支行，须以嘉兴最高等级机构名义参加投标；</w:t>
      </w:r>
    </w:p>
    <w:p>
      <w:pPr>
        <w:numPr>
          <w:ilvl w:val="0"/>
          <w:numId w:val="2"/>
        </w:numPr>
        <w:spacing w:line="360" w:lineRule="auto"/>
        <w:ind w:left="0"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依法开展经营活动，内部</w:t>
      </w:r>
      <w:bookmarkStart w:id="3" w:name="_GoBack"/>
      <w:bookmarkEnd w:id="3"/>
      <w:r>
        <w:rPr>
          <w:rFonts w:hint="eastAsia" w:ascii="宋体" w:hAnsi="宋体" w:eastAsia="宋体" w:cs="宋体"/>
          <w:kern w:val="0"/>
          <w:sz w:val="21"/>
          <w:szCs w:val="21"/>
          <w:lang w:val="en-US" w:eastAsia="zh-CN" w:bidi="ar-SA"/>
        </w:rPr>
        <w:t>管理机制健全，具有较强的风险控制能力，近3年内在经营活动中无重大违法违规记录、未发生金融风险及重大违约事件；</w:t>
      </w:r>
    </w:p>
    <w:p>
      <w:pPr>
        <w:numPr>
          <w:ilvl w:val="0"/>
          <w:numId w:val="2"/>
        </w:numPr>
        <w:spacing w:line="360" w:lineRule="auto"/>
        <w:ind w:left="0" w:firstLine="420" w:firstLineChars="20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纳入监管评级的银行，人行嘉兴市中心支行上年度综合评价达到Ｂ级及以上。不纳入人民银行评级范围的银行不受此条款限制；</w:t>
      </w:r>
    </w:p>
    <w:p>
      <w:pPr>
        <w:numPr>
          <w:ilvl w:val="0"/>
          <w:numId w:val="2"/>
        </w:numPr>
        <w:spacing w:line="360" w:lineRule="auto"/>
        <w:ind w:left="0" w:firstLine="420" w:firstLineChars="200"/>
        <w:rPr>
          <w:rFonts w:cs="宋体" w:asciiTheme="minorEastAsia" w:hAnsiTheme="minorEastAsia" w:eastAsiaTheme="minorEastAsia"/>
          <w:szCs w:val="21"/>
        </w:rPr>
      </w:pPr>
      <w:r>
        <w:rPr>
          <w:rFonts w:hint="eastAsia" w:ascii="宋体" w:hAnsi="宋体" w:cs="宋体"/>
          <w:szCs w:val="21"/>
        </w:rPr>
        <w:t>本项目中标单位原则上不得要求招标人开立一般户、临时户等在中国人民银行备案的账户。</w:t>
      </w:r>
    </w:p>
    <w:bookmarkEnd w:id="2"/>
    <w:p>
      <w:pPr>
        <w:pStyle w:val="4"/>
        <w:numPr>
          <w:ilvl w:val="0"/>
          <w:numId w:val="1"/>
        </w:numPr>
        <w:tabs>
          <w:tab w:val="left" w:pos="993"/>
        </w:tabs>
        <w:spacing w:before="0" w:beforeAutospacing="0" w:after="156" w:afterAutospacing="0" w:line="360" w:lineRule="atLeast"/>
        <w:ind w:left="0" w:firstLine="426"/>
        <w:textAlignment w:val="baseline"/>
        <w:rPr>
          <w:rStyle w:val="8"/>
          <w:sz w:val="21"/>
          <w:szCs w:val="21"/>
        </w:rPr>
      </w:pPr>
      <w:r>
        <w:rPr>
          <w:rStyle w:val="8"/>
          <w:rFonts w:hint="eastAsia"/>
          <w:sz w:val="21"/>
          <w:szCs w:val="21"/>
        </w:rPr>
        <w:t>获取招标文件的时间、方式</w:t>
      </w:r>
    </w:p>
    <w:p>
      <w:pPr>
        <w:pStyle w:val="4"/>
        <w:numPr>
          <w:ilvl w:val="1"/>
          <w:numId w:val="3"/>
        </w:numPr>
        <w:spacing w:before="0" w:beforeAutospacing="0" w:after="156" w:afterAutospacing="0" w:line="360" w:lineRule="atLeast"/>
        <w:ind w:left="0" w:firstLine="440"/>
        <w:textAlignment w:val="baseline"/>
        <w:rPr>
          <w:rFonts w:ascii="-apple-system" w:hAnsi="-apple-system"/>
          <w:sz w:val="21"/>
          <w:szCs w:val="21"/>
        </w:rPr>
      </w:pPr>
      <w:r>
        <w:rPr>
          <w:rFonts w:hint="eastAsia"/>
          <w:sz w:val="21"/>
          <w:szCs w:val="21"/>
        </w:rPr>
        <w:t>获取招标文件时间：202</w:t>
      </w:r>
      <w:r>
        <w:rPr>
          <w:sz w:val="21"/>
          <w:szCs w:val="21"/>
        </w:rPr>
        <w:t>4</w:t>
      </w:r>
      <w:r>
        <w:rPr>
          <w:rFonts w:hint="eastAsia"/>
          <w:sz w:val="21"/>
          <w:szCs w:val="21"/>
        </w:rPr>
        <w:t>年</w:t>
      </w:r>
      <w:r>
        <w:rPr>
          <w:sz w:val="21"/>
          <w:szCs w:val="21"/>
        </w:rPr>
        <w:t>02</w:t>
      </w:r>
      <w:r>
        <w:rPr>
          <w:rFonts w:hint="eastAsia"/>
          <w:sz w:val="21"/>
          <w:szCs w:val="21"/>
        </w:rPr>
        <w:t>月</w:t>
      </w:r>
      <w:r>
        <w:rPr>
          <w:sz w:val="21"/>
          <w:szCs w:val="21"/>
        </w:rPr>
        <w:t>27</w:t>
      </w:r>
      <w:r>
        <w:rPr>
          <w:rFonts w:hint="eastAsia"/>
          <w:sz w:val="21"/>
          <w:szCs w:val="21"/>
        </w:rPr>
        <w:t>日起至202</w:t>
      </w:r>
      <w:r>
        <w:rPr>
          <w:sz w:val="21"/>
          <w:szCs w:val="21"/>
        </w:rPr>
        <w:t>4</w:t>
      </w:r>
      <w:r>
        <w:rPr>
          <w:rFonts w:hint="eastAsia"/>
          <w:sz w:val="21"/>
          <w:szCs w:val="21"/>
        </w:rPr>
        <w:t>年</w:t>
      </w:r>
      <w:r>
        <w:rPr>
          <w:sz w:val="21"/>
          <w:szCs w:val="21"/>
        </w:rPr>
        <w:t>03</w:t>
      </w:r>
      <w:r>
        <w:rPr>
          <w:rFonts w:hint="eastAsia"/>
          <w:sz w:val="21"/>
          <w:szCs w:val="21"/>
        </w:rPr>
        <w:t>月</w:t>
      </w:r>
      <w:r>
        <w:rPr>
          <w:sz w:val="21"/>
          <w:szCs w:val="21"/>
        </w:rPr>
        <w:t>04</w:t>
      </w:r>
      <w:r>
        <w:rPr>
          <w:rFonts w:hint="eastAsia"/>
          <w:sz w:val="21"/>
          <w:szCs w:val="21"/>
        </w:rPr>
        <w:t>日</w:t>
      </w:r>
      <w:r>
        <w:rPr>
          <w:sz w:val="21"/>
          <w:szCs w:val="21"/>
        </w:rPr>
        <w:t>17</w:t>
      </w:r>
      <w:r>
        <w:rPr>
          <w:rFonts w:hint="eastAsia"/>
          <w:sz w:val="21"/>
          <w:szCs w:val="21"/>
        </w:rPr>
        <w:t>时</w:t>
      </w:r>
      <w:r>
        <w:rPr>
          <w:sz w:val="21"/>
          <w:szCs w:val="21"/>
        </w:rPr>
        <w:t>00</w:t>
      </w:r>
      <w:r>
        <w:rPr>
          <w:rFonts w:hint="eastAsia"/>
          <w:sz w:val="21"/>
          <w:szCs w:val="21"/>
        </w:rPr>
        <w:t>分止（工作时间）；</w:t>
      </w:r>
    </w:p>
    <w:p>
      <w:pPr>
        <w:pStyle w:val="4"/>
        <w:numPr>
          <w:ilvl w:val="1"/>
          <w:numId w:val="3"/>
        </w:numPr>
        <w:spacing w:before="0" w:beforeAutospacing="0" w:after="156" w:afterAutospacing="0" w:line="360" w:lineRule="atLeast"/>
        <w:ind w:left="0" w:firstLine="440"/>
        <w:textAlignment w:val="baseline"/>
        <w:rPr>
          <w:sz w:val="21"/>
          <w:szCs w:val="21"/>
        </w:rPr>
      </w:pPr>
      <w:r>
        <w:rPr>
          <w:rFonts w:hint="eastAsia"/>
          <w:sz w:val="21"/>
          <w:szCs w:val="21"/>
        </w:rPr>
        <w:t>获取招标文件方式：本项目招标文件实行“嘉兴禾采联综合采购服务平台”在线获取，不提供招标文件纸质版，请登陆嘉兴禾采联综合采购服务平台（http://www.jxcqgs.cn/jxcqcg/）—“供应商登录”，免费注册完成后，下载获取后缀名为“.JXCQZF”的发包文件等。注册咨询、技术服务电话：0573-82816090。</w:t>
      </w:r>
    </w:p>
    <w:p>
      <w:pPr>
        <w:pStyle w:val="4"/>
        <w:spacing w:before="0" w:beforeAutospacing="0" w:after="156" w:afterAutospacing="0" w:line="360" w:lineRule="atLeast"/>
        <w:ind w:firstLine="401" w:firstLineChars="191"/>
        <w:textAlignment w:val="baseline"/>
        <w:rPr>
          <w:sz w:val="21"/>
          <w:szCs w:val="21"/>
        </w:rPr>
      </w:pPr>
      <w:r>
        <w:rPr>
          <w:rFonts w:hint="eastAsia"/>
          <w:sz w:val="21"/>
          <w:szCs w:val="21"/>
        </w:rPr>
        <w:t>注：请供应商按上述要求获取招标文件，如未在嘉兴禾采联综合采购服务平台系统内完成相关流程，引起的投标无效责任自担。</w:t>
      </w:r>
    </w:p>
    <w:p>
      <w:pPr>
        <w:pStyle w:val="4"/>
        <w:numPr>
          <w:ilvl w:val="1"/>
          <w:numId w:val="3"/>
        </w:numPr>
        <w:spacing w:before="0" w:beforeAutospacing="0" w:after="156" w:afterAutospacing="0" w:line="360" w:lineRule="atLeast"/>
        <w:ind w:left="0" w:firstLine="440"/>
        <w:textAlignment w:val="baseline"/>
        <w:rPr>
          <w:sz w:val="21"/>
          <w:szCs w:val="21"/>
        </w:rPr>
      </w:pPr>
      <w:r>
        <w:rPr>
          <w:rFonts w:hint="eastAsia"/>
          <w:sz w:val="21"/>
          <w:szCs w:val="21"/>
        </w:rPr>
        <w:t>报名时间及方式：报名时间同招标文件获取时间。</w:t>
      </w:r>
    </w:p>
    <w:p>
      <w:pPr>
        <w:pStyle w:val="4"/>
        <w:spacing w:before="0" w:beforeAutospacing="0" w:after="156" w:afterAutospacing="0" w:line="360" w:lineRule="atLeast"/>
        <w:ind w:firstLine="435"/>
        <w:textAlignment w:val="baseline"/>
        <w:rPr>
          <w:rFonts w:ascii="-apple-system" w:hAnsi="-apple-system"/>
          <w:sz w:val="21"/>
          <w:szCs w:val="21"/>
        </w:rPr>
      </w:pPr>
      <w:r>
        <w:rPr>
          <w:rFonts w:hint="eastAsia"/>
          <w:sz w:val="21"/>
          <w:szCs w:val="21"/>
        </w:rPr>
        <w:t>本项目实行网上报名。供应商请登陆嘉兴禾采联综合采购服务平台（http://www.jxcqgs.cn/jxcqcg/）—“供应商登录”，进行下载发包文件，即报名成功。</w:t>
      </w:r>
    </w:p>
    <w:p>
      <w:pPr>
        <w:pStyle w:val="4"/>
        <w:spacing w:before="0" w:beforeAutospacing="0" w:after="156" w:afterAutospacing="0" w:line="375" w:lineRule="atLeast"/>
        <w:textAlignment w:val="baseline"/>
        <w:rPr>
          <w:rFonts w:ascii="-apple-system" w:hAnsi="-apple-system"/>
          <w:sz w:val="21"/>
          <w:szCs w:val="21"/>
        </w:rPr>
      </w:pPr>
      <w:r>
        <w:rPr>
          <w:rStyle w:val="8"/>
          <w:rFonts w:hint="eastAsia"/>
          <w:sz w:val="21"/>
          <w:szCs w:val="21"/>
        </w:rPr>
        <w:t>六、投标文件递交截止时间及开标时间</w:t>
      </w:r>
    </w:p>
    <w:p>
      <w:pPr>
        <w:pStyle w:val="4"/>
        <w:spacing w:before="0" w:beforeAutospacing="0" w:after="156" w:afterAutospacing="0" w:line="375" w:lineRule="atLeast"/>
        <w:ind w:firstLine="435"/>
        <w:rPr>
          <w:rFonts w:ascii="-apple-system" w:hAnsi="-apple-system"/>
          <w:sz w:val="21"/>
          <w:szCs w:val="21"/>
        </w:rPr>
      </w:pPr>
      <w:r>
        <w:rPr>
          <w:rFonts w:hint="eastAsia"/>
          <w:sz w:val="21"/>
          <w:szCs w:val="21"/>
        </w:rPr>
        <w:t>投标文件递交截止时间：</w:t>
      </w:r>
      <w:r>
        <w:rPr>
          <w:rStyle w:val="8"/>
          <w:rFonts w:hint="eastAsia"/>
          <w:sz w:val="21"/>
          <w:szCs w:val="21"/>
          <w:u w:val="single"/>
        </w:rPr>
        <w:t>202</w:t>
      </w:r>
      <w:r>
        <w:rPr>
          <w:rStyle w:val="8"/>
          <w:sz w:val="21"/>
          <w:szCs w:val="21"/>
          <w:u w:val="single"/>
        </w:rPr>
        <w:t>4</w:t>
      </w:r>
      <w:r>
        <w:rPr>
          <w:rStyle w:val="8"/>
          <w:rFonts w:hint="eastAsia"/>
          <w:sz w:val="21"/>
          <w:szCs w:val="21"/>
          <w:u w:val="single"/>
        </w:rPr>
        <w:t>年0</w:t>
      </w:r>
      <w:r>
        <w:rPr>
          <w:rStyle w:val="8"/>
          <w:sz w:val="21"/>
          <w:szCs w:val="21"/>
          <w:u w:val="single"/>
        </w:rPr>
        <w:t>3</w:t>
      </w:r>
      <w:r>
        <w:rPr>
          <w:rStyle w:val="8"/>
          <w:rFonts w:hint="eastAsia"/>
          <w:sz w:val="21"/>
          <w:szCs w:val="21"/>
          <w:u w:val="single"/>
        </w:rPr>
        <w:t>月</w:t>
      </w:r>
      <w:r>
        <w:rPr>
          <w:rStyle w:val="8"/>
          <w:sz w:val="21"/>
          <w:szCs w:val="21"/>
          <w:u w:val="single"/>
        </w:rPr>
        <w:t>05</w:t>
      </w:r>
      <w:r>
        <w:rPr>
          <w:rStyle w:val="8"/>
          <w:rFonts w:hint="eastAsia"/>
          <w:sz w:val="21"/>
          <w:szCs w:val="21"/>
          <w:u w:val="single"/>
        </w:rPr>
        <w:t>日</w:t>
      </w:r>
      <w:r>
        <w:rPr>
          <w:rStyle w:val="8"/>
          <w:sz w:val="21"/>
          <w:szCs w:val="21"/>
          <w:u w:val="single"/>
        </w:rPr>
        <w:t xml:space="preserve">14 </w:t>
      </w:r>
      <w:r>
        <w:rPr>
          <w:rStyle w:val="8"/>
          <w:rFonts w:hint="eastAsia"/>
          <w:sz w:val="21"/>
          <w:szCs w:val="21"/>
          <w:u w:val="single"/>
        </w:rPr>
        <w:t>时</w:t>
      </w:r>
      <w:r>
        <w:rPr>
          <w:rStyle w:val="8"/>
          <w:sz w:val="21"/>
          <w:szCs w:val="21"/>
          <w:u w:val="single"/>
        </w:rPr>
        <w:t>00</w:t>
      </w:r>
      <w:r>
        <w:rPr>
          <w:rStyle w:val="8"/>
          <w:rFonts w:hint="eastAsia"/>
          <w:sz w:val="21"/>
          <w:szCs w:val="21"/>
          <w:u w:val="single"/>
        </w:rPr>
        <w:t>分整。</w:t>
      </w:r>
    </w:p>
    <w:p>
      <w:pPr>
        <w:pStyle w:val="4"/>
        <w:spacing w:before="0" w:beforeAutospacing="0" w:after="156" w:afterAutospacing="0" w:line="375" w:lineRule="atLeast"/>
        <w:ind w:firstLine="435"/>
        <w:rPr>
          <w:rFonts w:ascii="-apple-system" w:hAnsi="-apple-system"/>
          <w:sz w:val="21"/>
          <w:szCs w:val="21"/>
        </w:rPr>
      </w:pPr>
      <w:r>
        <w:rPr>
          <w:rFonts w:hint="eastAsia"/>
          <w:sz w:val="21"/>
          <w:szCs w:val="21"/>
        </w:rPr>
        <w:t>开标时间：同投标文件递交截止时间。</w:t>
      </w:r>
    </w:p>
    <w:p>
      <w:pPr>
        <w:pStyle w:val="4"/>
        <w:spacing w:before="0" w:beforeAutospacing="0" w:after="156" w:afterAutospacing="0" w:line="375" w:lineRule="atLeast"/>
        <w:rPr>
          <w:rFonts w:ascii="-apple-system" w:hAnsi="-apple-system"/>
          <w:sz w:val="21"/>
          <w:szCs w:val="21"/>
        </w:rPr>
      </w:pPr>
      <w:r>
        <w:rPr>
          <w:rStyle w:val="8"/>
          <w:rFonts w:hint="eastAsia"/>
          <w:sz w:val="21"/>
          <w:szCs w:val="21"/>
        </w:rPr>
        <w:t>七、投标文件递交地址及开标地址</w:t>
      </w:r>
    </w:p>
    <w:p>
      <w:pPr>
        <w:pStyle w:val="4"/>
        <w:spacing w:before="0" w:beforeAutospacing="0" w:after="156" w:afterAutospacing="0" w:line="360" w:lineRule="atLeast"/>
        <w:ind w:firstLine="435"/>
        <w:rPr>
          <w:rFonts w:ascii="-apple-system" w:hAnsi="-apple-system"/>
          <w:sz w:val="21"/>
          <w:szCs w:val="21"/>
        </w:rPr>
      </w:pPr>
      <w:r>
        <w:rPr>
          <w:rFonts w:hint="eastAsia"/>
          <w:sz w:val="21"/>
          <w:szCs w:val="21"/>
        </w:rPr>
        <w:t>投标文件递交地址：请登陆嘉兴禾采联综合采购服务平台（http://www.jxcqgs.cn/jxcqcg/）—“供应商登录”，在投标截止日期前上传投标文件，提示上传成功即完成投标。本项目通过嘉兴禾采联综合采购服务平台投标制作软件编制并加密投标文件，供应商未按规定加密的投标文件，嘉兴禾采联综合采购服务平台将予以拒收。</w:t>
      </w:r>
    </w:p>
    <w:p>
      <w:pPr>
        <w:pStyle w:val="4"/>
        <w:spacing w:before="240" w:beforeAutospacing="0" w:after="156" w:afterAutospacing="0" w:line="360" w:lineRule="atLeast"/>
        <w:ind w:firstLine="435"/>
        <w:rPr>
          <w:rFonts w:ascii="-apple-system" w:hAnsi="-apple-system"/>
          <w:sz w:val="21"/>
          <w:szCs w:val="21"/>
        </w:rPr>
      </w:pPr>
      <w:r>
        <w:rPr>
          <w:rFonts w:hint="eastAsia"/>
          <w:sz w:val="21"/>
          <w:szCs w:val="21"/>
        </w:rPr>
        <w:t>开标地址：本次采用远程不见面开标，请供应商在开标前提前登陆嘉兴禾采联综合采购服务平台（http://www.jxcqgs.cn/jxcqcg/）—“不见面开标”，登陆成功后，参与线上开标流程，完成在线解密。本项目解密时长为30分钟，如未在规定时间内完成解密的，责任由供应商自负。</w:t>
      </w:r>
    </w:p>
    <w:p>
      <w:pPr>
        <w:pStyle w:val="4"/>
        <w:spacing w:before="240" w:beforeAutospacing="0" w:after="156" w:afterAutospacing="0" w:line="360" w:lineRule="atLeast"/>
        <w:ind w:firstLine="435"/>
        <w:rPr>
          <w:rFonts w:ascii="-apple-system" w:hAnsi="-apple-system"/>
          <w:sz w:val="21"/>
          <w:szCs w:val="21"/>
        </w:rPr>
      </w:pPr>
      <w:r>
        <w:rPr>
          <w:rFonts w:hint="eastAsia"/>
          <w:sz w:val="21"/>
          <w:szCs w:val="21"/>
        </w:rPr>
        <w:t>注：相关制作软件及操作手册请在嘉兴禾采联综合采购服务平台首页办事指南及下载中心自行下载。</w:t>
      </w:r>
    </w:p>
    <w:p>
      <w:pPr>
        <w:pStyle w:val="4"/>
        <w:spacing w:before="0" w:beforeAutospacing="0" w:after="156" w:afterAutospacing="0" w:line="360" w:lineRule="atLeast"/>
        <w:rPr>
          <w:b/>
          <w:bCs/>
          <w:sz w:val="21"/>
          <w:szCs w:val="21"/>
        </w:rPr>
      </w:pPr>
      <w:r>
        <w:rPr>
          <w:rFonts w:hint="eastAsia"/>
          <w:b/>
          <w:bCs/>
          <w:sz w:val="21"/>
          <w:szCs w:val="21"/>
        </w:rPr>
        <w:t>八、投标保证金：</w:t>
      </w:r>
      <w:r>
        <w:rPr>
          <w:rFonts w:hint="eastAsia"/>
          <w:sz w:val="21"/>
          <w:szCs w:val="21"/>
        </w:rPr>
        <w:t>本项目不设置</w:t>
      </w:r>
    </w:p>
    <w:p>
      <w:pPr>
        <w:pStyle w:val="4"/>
        <w:spacing w:before="0" w:beforeAutospacing="0" w:after="156" w:afterAutospacing="0" w:line="360" w:lineRule="atLeast"/>
        <w:rPr>
          <w:rFonts w:ascii="-apple-system" w:hAnsi="-apple-system"/>
          <w:sz w:val="21"/>
          <w:szCs w:val="21"/>
        </w:rPr>
      </w:pPr>
      <w:r>
        <w:rPr>
          <w:rStyle w:val="8"/>
          <w:rFonts w:hint="eastAsia"/>
          <w:sz w:val="21"/>
          <w:szCs w:val="21"/>
        </w:rPr>
        <w:t>九、投标注意事项</w:t>
      </w:r>
    </w:p>
    <w:p>
      <w:pPr>
        <w:pStyle w:val="4"/>
        <w:spacing w:before="0" w:beforeAutospacing="0" w:after="156" w:afterAutospacing="0" w:line="360" w:lineRule="atLeast"/>
        <w:ind w:firstLine="435"/>
        <w:rPr>
          <w:rFonts w:ascii="-apple-system" w:hAnsi="-apple-system"/>
          <w:sz w:val="21"/>
          <w:szCs w:val="21"/>
        </w:rPr>
      </w:pPr>
      <w:r>
        <w:rPr>
          <w:rFonts w:hint="eastAsia"/>
          <w:sz w:val="21"/>
          <w:szCs w:val="21"/>
        </w:rPr>
        <w:t>远程不见面开标：是指将传统的开标场所搬到网上，招标人、投标人只需登录网上不见面开标大厅（http://www.jxcqgs.cn/BidOpening/bidhall/default/login），无需到开标现场参与即可进行投标文件在线解密、投标人在线提问、招标人在线回复等操作。</w:t>
      </w:r>
    </w:p>
    <w:p>
      <w:pPr>
        <w:pStyle w:val="4"/>
        <w:spacing w:before="0" w:beforeAutospacing="0" w:after="156" w:afterAutospacing="0" w:line="360" w:lineRule="atLeast"/>
        <w:ind w:firstLine="435"/>
        <w:rPr>
          <w:rFonts w:ascii="-apple-system" w:hAnsi="-apple-system"/>
          <w:sz w:val="21"/>
          <w:szCs w:val="21"/>
        </w:rPr>
      </w:pPr>
      <w:r>
        <w:rPr>
          <w:rFonts w:hint="eastAsia"/>
          <w:sz w:val="21"/>
          <w:szCs w:val="21"/>
        </w:rPr>
        <w:t>CA锁和嘉兴市公共资源交易系统通用。</w:t>
      </w:r>
    </w:p>
    <w:p>
      <w:pPr>
        <w:pStyle w:val="4"/>
        <w:spacing w:before="0" w:beforeAutospacing="0" w:after="156" w:afterAutospacing="0" w:line="360" w:lineRule="atLeast"/>
        <w:rPr>
          <w:rFonts w:ascii="-apple-system" w:hAnsi="-apple-system"/>
          <w:sz w:val="21"/>
          <w:szCs w:val="21"/>
        </w:rPr>
      </w:pPr>
      <w:r>
        <w:rPr>
          <w:rStyle w:val="8"/>
          <w:rFonts w:hint="eastAsia"/>
          <w:sz w:val="21"/>
          <w:szCs w:val="21"/>
        </w:rPr>
        <w:t>十、采购人、采购代理机构的名称、地址和联系方式</w:t>
      </w:r>
    </w:p>
    <w:p>
      <w:pPr>
        <w:pStyle w:val="4"/>
        <w:numPr>
          <w:ilvl w:val="0"/>
          <w:numId w:val="4"/>
        </w:numPr>
        <w:spacing w:before="0" w:beforeAutospacing="0" w:after="156" w:afterAutospacing="0" w:line="360" w:lineRule="atLeast"/>
        <w:rPr>
          <w:sz w:val="21"/>
          <w:szCs w:val="21"/>
        </w:rPr>
      </w:pPr>
      <w:r>
        <w:rPr>
          <w:rFonts w:hint="eastAsia"/>
          <w:sz w:val="21"/>
          <w:szCs w:val="21"/>
        </w:rPr>
        <w:t>采购人：嘉兴市交通投资集团有限责任公司</w:t>
      </w:r>
    </w:p>
    <w:p>
      <w:pPr>
        <w:pStyle w:val="4"/>
        <w:spacing w:before="0" w:beforeAutospacing="0" w:after="156" w:afterAutospacing="0" w:line="360" w:lineRule="atLeast"/>
        <w:ind w:firstLine="435"/>
        <w:rPr>
          <w:sz w:val="21"/>
          <w:szCs w:val="21"/>
        </w:rPr>
      </w:pPr>
      <w:r>
        <w:rPr>
          <w:rFonts w:hint="eastAsia"/>
          <w:sz w:val="21"/>
          <w:szCs w:val="21"/>
        </w:rPr>
        <w:t>联系人：孙文燕      联系电话：0573-82870979    </w:t>
      </w:r>
    </w:p>
    <w:p>
      <w:pPr>
        <w:pStyle w:val="4"/>
        <w:spacing w:before="0" w:beforeAutospacing="0" w:after="156" w:afterAutospacing="0" w:line="360" w:lineRule="atLeast"/>
        <w:ind w:firstLine="435"/>
        <w:rPr>
          <w:sz w:val="21"/>
          <w:szCs w:val="21"/>
        </w:rPr>
      </w:pPr>
      <w:r>
        <w:rPr>
          <w:rFonts w:hint="eastAsia"/>
          <w:sz w:val="21"/>
          <w:szCs w:val="21"/>
        </w:rPr>
        <w:t>地址：嘉兴市南湖区南湖大道902号</w:t>
      </w:r>
    </w:p>
    <w:p>
      <w:pPr>
        <w:pStyle w:val="4"/>
        <w:numPr>
          <w:ilvl w:val="0"/>
          <w:numId w:val="4"/>
        </w:numPr>
        <w:spacing w:before="0" w:beforeAutospacing="0" w:after="156" w:afterAutospacing="0" w:line="360" w:lineRule="atLeast"/>
        <w:rPr>
          <w:sz w:val="21"/>
          <w:szCs w:val="21"/>
        </w:rPr>
      </w:pPr>
      <w:r>
        <w:rPr>
          <w:rFonts w:hint="eastAsia"/>
          <w:sz w:val="21"/>
          <w:szCs w:val="21"/>
        </w:rPr>
        <w:t>采购代理机构：嘉兴市千秋工程咨询有限公司</w:t>
      </w:r>
    </w:p>
    <w:p>
      <w:pPr>
        <w:pStyle w:val="4"/>
        <w:spacing w:before="0" w:beforeAutospacing="0" w:after="156" w:afterAutospacing="0" w:line="360" w:lineRule="atLeast"/>
        <w:ind w:firstLine="435"/>
        <w:rPr>
          <w:rFonts w:ascii="-apple-system" w:hAnsi="-apple-system"/>
          <w:sz w:val="21"/>
          <w:szCs w:val="21"/>
        </w:rPr>
      </w:pPr>
      <w:r>
        <w:rPr>
          <w:rFonts w:hint="eastAsia"/>
          <w:sz w:val="21"/>
          <w:szCs w:val="21"/>
        </w:rPr>
        <w:t>联系人：章莉莉   联系电话：0573-8</w:t>
      </w:r>
      <w:r>
        <w:rPr>
          <w:sz w:val="21"/>
          <w:szCs w:val="21"/>
        </w:rPr>
        <w:t>3705015</w:t>
      </w:r>
      <w:r>
        <w:rPr>
          <w:rFonts w:hint="eastAsia"/>
          <w:sz w:val="21"/>
          <w:szCs w:val="21"/>
        </w:rPr>
        <w:t xml:space="preserve">   1</w:t>
      </w:r>
      <w:r>
        <w:rPr>
          <w:sz w:val="21"/>
          <w:szCs w:val="21"/>
        </w:rPr>
        <w:t>3605735186</w:t>
      </w:r>
      <w:r>
        <w:rPr>
          <w:rFonts w:hint="eastAsia"/>
          <w:sz w:val="21"/>
          <w:szCs w:val="21"/>
        </w:rPr>
        <w:t xml:space="preserve">     </w:t>
      </w:r>
    </w:p>
    <w:p>
      <w:pPr>
        <w:pStyle w:val="4"/>
        <w:spacing w:before="0" w:beforeAutospacing="0" w:after="156" w:afterAutospacing="0" w:line="360" w:lineRule="atLeast"/>
        <w:ind w:firstLine="435"/>
        <w:rPr>
          <w:rFonts w:ascii="-apple-system" w:hAnsi="-apple-system"/>
          <w:sz w:val="21"/>
          <w:szCs w:val="21"/>
        </w:rPr>
      </w:pPr>
      <w:r>
        <w:rPr>
          <w:rFonts w:hint="eastAsia"/>
          <w:sz w:val="21"/>
          <w:szCs w:val="21"/>
        </w:rPr>
        <w:t>地址：嘉兴市秀洲区新平路2</w:t>
      </w:r>
      <w:r>
        <w:rPr>
          <w:sz w:val="21"/>
          <w:szCs w:val="21"/>
        </w:rPr>
        <w:t>99</w:t>
      </w:r>
      <w:r>
        <w:rPr>
          <w:rFonts w:hint="eastAsia"/>
          <w:sz w:val="21"/>
          <w:szCs w:val="21"/>
        </w:rPr>
        <w:t>号中禾广场2</w:t>
      </w:r>
      <w:r>
        <w:rPr>
          <w:sz w:val="21"/>
          <w:szCs w:val="21"/>
        </w:rPr>
        <w:t>3</w:t>
      </w:r>
      <w:r>
        <w:rPr>
          <w:rFonts w:hint="eastAsia"/>
          <w:sz w:val="21"/>
          <w:szCs w:val="21"/>
        </w:rPr>
        <w:t>楼</w:t>
      </w:r>
    </w:p>
    <w:p>
      <w:pPr>
        <w:pStyle w:val="4"/>
        <w:numPr>
          <w:ilvl w:val="0"/>
          <w:numId w:val="4"/>
        </w:numPr>
        <w:spacing w:before="0" w:beforeAutospacing="0" w:after="156" w:afterAutospacing="0" w:line="360" w:lineRule="atLeast"/>
        <w:rPr>
          <w:sz w:val="21"/>
          <w:szCs w:val="21"/>
        </w:rPr>
      </w:pPr>
      <w:r>
        <w:rPr>
          <w:rFonts w:hint="eastAsia"/>
          <w:sz w:val="21"/>
          <w:szCs w:val="21"/>
        </w:rPr>
        <w:t>监督单位及电话：嘉兴市交通投资集团有限责任公司审计风控部  0573-82871355</w:t>
      </w:r>
    </w:p>
    <w:p>
      <w:pPr>
        <w:pStyle w:val="4"/>
        <w:numPr>
          <w:ilvl w:val="0"/>
          <w:numId w:val="4"/>
        </w:numPr>
        <w:spacing w:before="0" w:beforeAutospacing="0" w:after="156" w:afterAutospacing="0" w:line="360" w:lineRule="atLeast"/>
        <w:rPr>
          <w:sz w:val="21"/>
          <w:szCs w:val="21"/>
        </w:rPr>
      </w:pPr>
      <w:r>
        <w:rPr>
          <w:rFonts w:hint="eastAsia"/>
          <w:sz w:val="21"/>
          <w:szCs w:val="21"/>
        </w:rPr>
        <w:t>嘉兴禾采联综合采购服务平台电话：0573-</w:t>
      </w:r>
      <w:r>
        <w:rPr>
          <w:sz w:val="21"/>
          <w:szCs w:val="21"/>
        </w:rPr>
        <w:t>82828600</w:t>
      </w:r>
      <w:r>
        <w:rPr>
          <w:rFonts w:hint="eastAsia"/>
          <w:sz w:val="21"/>
          <w:szCs w:val="21"/>
        </w:rPr>
        <w:t>、0573-</w:t>
      </w:r>
      <w:r>
        <w:rPr>
          <w:sz w:val="21"/>
          <w:szCs w:val="21"/>
        </w:rPr>
        <w:t>82816090</w:t>
      </w:r>
      <w:r>
        <w:rPr>
          <w:rFonts w:hint="eastAsia"/>
          <w:sz w:val="21"/>
          <w:szCs w:val="21"/>
        </w:rPr>
        <w:t>、0573-8</w:t>
      </w:r>
      <w:r>
        <w:rPr>
          <w:sz w:val="21"/>
          <w:szCs w:val="21"/>
        </w:rPr>
        <w:t>2827971</w:t>
      </w:r>
      <w:r>
        <w:rPr>
          <w:rFonts w:hint="eastAsia"/>
          <w:sz w:val="21"/>
          <w:szCs w:val="21"/>
        </w:rPr>
        <w:t>。</w:t>
      </w:r>
    </w:p>
    <w:p>
      <w:pPr>
        <w:snapToGrid w:val="0"/>
        <w:spacing w:line="360" w:lineRule="auto"/>
        <w:ind w:left="238"/>
        <w:jc w:val="right"/>
        <w:rPr>
          <w:szCs w:val="21"/>
        </w:rPr>
      </w:pPr>
    </w:p>
    <w:p>
      <w:pPr>
        <w:snapToGrid w:val="0"/>
        <w:spacing w:line="360" w:lineRule="auto"/>
        <w:ind w:left="238"/>
        <w:jc w:val="right"/>
        <w:rPr>
          <w:szCs w:val="21"/>
        </w:rPr>
      </w:pPr>
    </w:p>
    <w:p>
      <w:pPr>
        <w:snapToGrid w:val="0"/>
        <w:spacing w:line="360" w:lineRule="auto"/>
        <w:ind w:left="238"/>
        <w:jc w:val="right"/>
        <w:rPr>
          <w:rFonts w:cs="Arial" w:asciiTheme="minorEastAsia" w:hAnsiTheme="minorEastAsia" w:eastAsiaTheme="minorEastAsia"/>
          <w:bCs/>
          <w:szCs w:val="21"/>
        </w:rPr>
      </w:pPr>
      <w:r>
        <w:rPr>
          <w:rFonts w:hint="eastAsia"/>
          <w:szCs w:val="21"/>
        </w:rPr>
        <w:t> </w:t>
      </w:r>
      <w:r>
        <w:rPr>
          <w:rFonts w:hint="eastAsia" w:cs="Arial" w:asciiTheme="minorEastAsia" w:hAnsiTheme="minorEastAsia" w:eastAsiaTheme="minorEastAsia"/>
          <w:bCs/>
          <w:szCs w:val="21"/>
        </w:rPr>
        <w:t>嘉兴市交通投资集团有限责任公司</w:t>
      </w:r>
    </w:p>
    <w:p>
      <w:pPr>
        <w:snapToGrid w:val="0"/>
        <w:spacing w:line="360" w:lineRule="auto"/>
        <w:ind w:left="238"/>
        <w:jc w:val="right"/>
        <w:rPr>
          <w:rFonts w:asciiTheme="minorEastAsia" w:hAnsiTheme="minorEastAsia" w:eastAsiaTheme="minorEastAsia"/>
          <w:szCs w:val="21"/>
        </w:rPr>
      </w:pPr>
      <w:r>
        <w:rPr>
          <w:rFonts w:hint="eastAsia" w:cs="Arial" w:asciiTheme="minorEastAsia" w:hAnsiTheme="minorEastAsia" w:eastAsiaTheme="minorEastAsia"/>
          <w:bCs/>
          <w:szCs w:val="21"/>
        </w:rPr>
        <w:t>嘉兴市千秋工程咨询有限公司</w:t>
      </w:r>
    </w:p>
    <w:p>
      <w:pPr>
        <w:wordWrap w:val="0"/>
        <w:spacing w:line="360" w:lineRule="auto"/>
        <w:ind w:right="-51"/>
        <w:jc w:val="right"/>
      </w:pPr>
      <w:r>
        <w:rPr>
          <w:rFonts w:hint="eastAsia" w:asciiTheme="minorEastAsia" w:hAnsiTheme="minorEastAsia" w:eastAsiaTheme="minorEastAsia"/>
          <w:szCs w:val="21"/>
        </w:rPr>
        <w:t>202</w:t>
      </w:r>
      <w:r>
        <w:rPr>
          <w:rFonts w:asciiTheme="minorEastAsia" w:hAnsiTheme="minorEastAsia" w:eastAsiaTheme="minorEastAsia"/>
          <w:szCs w:val="21"/>
        </w:rPr>
        <w:t>4</w:t>
      </w:r>
      <w:r>
        <w:rPr>
          <w:rFonts w:hint="eastAsia" w:asciiTheme="minorEastAsia" w:hAnsiTheme="minorEastAsia" w:eastAsiaTheme="minorEastAsia"/>
          <w:szCs w:val="21"/>
        </w:rPr>
        <w:t>年</w:t>
      </w:r>
      <w:r>
        <w:rPr>
          <w:rFonts w:asciiTheme="minorEastAsia" w:hAnsiTheme="minorEastAsia" w:eastAsiaTheme="minorEastAsia"/>
          <w:szCs w:val="21"/>
        </w:rPr>
        <w:t>02</w:t>
      </w:r>
      <w:r>
        <w:rPr>
          <w:rFonts w:hint="eastAsia" w:asciiTheme="minorEastAsia" w:hAnsiTheme="minorEastAsia" w:eastAsiaTheme="minorEastAsia"/>
          <w:szCs w:val="21"/>
        </w:rPr>
        <w:t>月</w:t>
      </w:r>
      <w:r>
        <w:rPr>
          <w:rFonts w:asciiTheme="minorEastAsia" w:hAnsiTheme="minorEastAsia" w:eastAsiaTheme="minorEastAsia"/>
          <w:szCs w:val="21"/>
        </w:rPr>
        <w:t>27</w:t>
      </w:r>
      <w:r>
        <w:rPr>
          <w:rFonts w:hint="eastAsia" w:asciiTheme="minorEastAsia" w:hAnsiTheme="minorEastAsia" w:eastAsiaTheme="minorEastAsia"/>
          <w:szCs w:val="21"/>
        </w:rPr>
        <w:t>日</w:t>
      </w:r>
      <w:bookmarkEnd w:id="1"/>
    </w:p>
    <w:sectPr>
      <w:footerReference r:id="rId3" w:type="firs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pple-system">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654133"/>
    </w:sdtPr>
    <w:sdtContent>
      <w:p>
        <w:pPr>
          <w:pStyle w:val="2"/>
          <w:jc w:val="right"/>
        </w:pPr>
        <w:r>
          <w:fldChar w:fldCharType="begin"/>
        </w:r>
        <w:r>
          <w:instrText xml:space="preserve"> PAGE   \* MERGEFORMAT </w:instrText>
        </w:r>
        <w:r>
          <w:fldChar w:fldCharType="separate"/>
        </w:r>
        <w:r>
          <w:rPr>
            <w:lang w:val="zh-CN"/>
          </w:rPr>
          <w:t>27</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7F18"/>
    <w:multiLevelType w:val="multilevel"/>
    <w:tmpl w:val="20157F18"/>
    <w:lvl w:ilvl="0" w:tentative="0">
      <w:start w:val="1"/>
      <w:numFmt w:val="chineseCounting"/>
      <w:lvlText w:val="%1、"/>
      <w:lvlJc w:val="left"/>
      <w:pPr>
        <w:ind w:left="665" w:hanging="440"/>
      </w:pPr>
      <w:rPr>
        <w:rFonts w:hint="eastAsia"/>
      </w:rPr>
    </w:lvl>
    <w:lvl w:ilvl="1" w:tentative="0">
      <w:start w:val="1"/>
      <w:numFmt w:val="decimal"/>
      <w:lvlText w:val="%2."/>
      <w:lvlJc w:val="left"/>
      <w:pPr>
        <w:ind w:left="1025" w:hanging="360"/>
      </w:pPr>
      <w:rPr>
        <w:rFonts w:hint="default"/>
      </w:rPr>
    </w:lvl>
    <w:lvl w:ilvl="2" w:tentative="0">
      <w:start w:val="1"/>
      <w:numFmt w:val="lowerRoman"/>
      <w:lvlText w:val="%3."/>
      <w:lvlJc w:val="right"/>
      <w:pPr>
        <w:ind w:left="1545" w:hanging="440"/>
      </w:pPr>
    </w:lvl>
    <w:lvl w:ilvl="3" w:tentative="0">
      <w:start w:val="1"/>
      <w:numFmt w:val="decimal"/>
      <w:lvlText w:val="%4."/>
      <w:lvlJc w:val="left"/>
      <w:pPr>
        <w:ind w:left="1985" w:hanging="440"/>
      </w:pPr>
    </w:lvl>
    <w:lvl w:ilvl="4" w:tentative="0">
      <w:start w:val="1"/>
      <w:numFmt w:val="lowerLetter"/>
      <w:lvlText w:val="%5)"/>
      <w:lvlJc w:val="left"/>
      <w:pPr>
        <w:ind w:left="2425" w:hanging="440"/>
      </w:pPr>
    </w:lvl>
    <w:lvl w:ilvl="5" w:tentative="0">
      <w:start w:val="1"/>
      <w:numFmt w:val="lowerRoman"/>
      <w:lvlText w:val="%6."/>
      <w:lvlJc w:val="right"/>
      <w:pPr>
        <w:ind w:left="2865" w:hanging="440"/>
      </w:pPr>
    </w:lvl>
    <w:lvl w:ilvl="6" w:tentative="0">
      <w:start w:val="1"/>
      <w:numFmt w:val="decimal"/>
      <w:lvlText w:val="%7."/>
      <w:lvlJc w:val="left"/>
      <w:pPr>
        <w:ind w:left="3305" w:hanging="440"/>
      </w:pPr>
    </w:lvl>
    <w:lvl w:ilvl="7" w:tentative="0">
      <w:start w:val="1"/>
      <w:numFmt w:val="lowerLetter"/>
      <w:lvlText w:val="%8)"/>
      <w:lvlJc w:val="left"/>
      <w:pPr>
        <w:ind w:left="3745" w:hanging="440"/>
      </w:pPr>
    </w:lvl>
    <w:lvl w:ilvl="8" w:tentative="0">
      <w:start w:val="1"/>
      <w:numFmt w:val="lowerRoman"/>
      <w:lvlText w:val="%9."/>
      <w:lvlJc w:val="right"/>
      <w:pPr>
        <w:ind w:left="4185" w:hanging="440"/>
      </w:pPr>
    </w:lvl>
  </w:abstractNum>
  <w:abstractNum w:abstractNumId="1">
    <w:nsid w:val="625A00BB"/>
    <w:multiLevelType w:val="singleLevel"/>
    <w:tmpl w:val="625A00BB"/>
    <w:lvl w:ilvl="0" w:tentative="0">
      <w:start w:val="1"/>
      <w:numFmt w:val="decimal"/>
      <w:lvlText w:val="%1."/>
      <w:lvlJc w:val="left"/>
      <w:pPr>
        <w:ind w:left="425" w:hanging="425"/>
      </w:pPr>
      <w:rPr>
        <w:rFonts w:hint="default"/>
      </w:rPr>
    </w:lvl>
  </w:abstractNum>
  <w:abstractNum w:abstractNumId="2">
    <w:nsid w:val="6AFE5AD9"/>
    <w:multiLevelType w:val="multilevel"/>
    <w:tmpl w:val="6AFE5AD9"/>
    <w:lvl w:ilvl="0" w:tentative="0">
      <w:start w:val="1"/>
      <w:numFmt w:val="decimal"/>
      <w:lvlText w:val="%1."/>
      <w:lvlJc w:val="left"/>
      <w:pPr>
        <w:ind w:left="440" w:hanging="440"/>
      </w:pPr>
      <w:rPr>
        <w:rFonts w:hint="eastAsia"/>
      </w:rPr>
    </w:lvl>
    <w:lvl w:ilvl="1" w:tentative="0">
      <w:start w:val="1"/>
      <w:numFmt w:val="decimal"/>
      <w:lvlText w:val="%2."/>
      <w:lvlJc w:val="left"/>
      <w:pPr>
        <w:ind w:left="880" w:hanging="440"/>
      </w:pPr>
      <w:rPr>
        <w:rFonts w:hint="eastAsia"/>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6FF856F0"/>
    <w:multiLevelType w:val="multilevel"/>
    <w:tmpl w:val="6FF856F0"/>
    <w:lvl w:ilvl="0" w:tentative="0">
      <w:start w:val="1"/>
      <w:numFmt w:val="decimal"/>
      <w:lvlText w:val="%1."/>
      <w:lvlJc w:val="left"/>
      <w:pPr>
        <w:ind w:left="880" w:hanging="440"/>
      </w:pPr>
      <w:rPr>
        <w:rFonts w:hint="eastAsia"/>
      </w:r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num w:numId="1">
    <w:abstractNumId w:val="0"/>
  </w:num>
  <w:num w:numId="2">
    <w:abstractNumId w:val="1"/>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71"/>
    <w:rsid w:val="00300422"/>
    <w:rsid w:val="00410C96"/>
    <w:rsid w:val="005B27F1"/>
    <w:rsid w:val="007135CF"/>
    <w:rsid w:val="00D67571"/>
    <w:rsid w:val="00E61723"/>
    <w:rsid w:val="5ADA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
    <w:name w:val="Title"/>
    <w:basedOn w:val="1"/>
    <w:next w:val="1"/>
    <w:link w:val="11"/>
    <w:qFormat/>
    <w:uiPriority w:val="0"/>
    <w:pPr>
      <w:spacing w:before="240" w:after="60"/>
      <w:jc w:val="center"/>
      <w:outlineLvl w:val="0"/>
    </w:pPr>
    <w:rPr>
      <w:rFonts w:ascii="Cambria" w:hAnsi="Cambria" w:eastAsia="微软雅黑"/>
      <w:b/>
      <w:bCs/>
      <w:sz w:val="32"/>
      <w:szCs w:val="32"/>
    </w:rPr>
  </w:style>
  <w:style w:type="character" w:styleId="8">
    <w:name w:val="Strong"/>
    <w:basedOn w:val="7"/>
    <w:qFormat/>
    <w:uiPriority w:val="22"/>
    <w:rPr>
      <w:b/>
      <w:bCs/>
    </w:r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 w:type="character" w:customStyle="1" w:styleId="11">
    <w:name w:val="标题 字符"/>
    <w:basedOn w:val="7"/>
    <w:link w:val="5"/>
    <w:qFormat/>
    <w:uiPriority w:val="0"/>
    <w:rPr>
      <w:rFonts w:ascii="Cambria" w:hAnsi="Cambria" w:eastAsia="微软雅黑"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332</Words>
  <Characters>1898</Characters>
  <Lines>15</Lines>
  <Paragraphs>4</Paragraphs>
  <TotalTime>2</TotalTime>
  <ScaleCrop>false</ScaleCrop>
  <LinksUpToDate>false</LinksUpToDate>
  <CharactersWithSpaces>2226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2024-02-26T06:57:00Z</dcterms:created>
  <dc:creator>Administrator</dc:creator>
  <cp:lastModifiedBy>孙文燕</cp:lastModifiedBy>
  <dcterms:modified xsi:type="dcterms:W3CDTF">2024-02-27T01:35:53Z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