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嘉兴市国鸿商务旅游客运有限公司旅游客运客车采购（标段二）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jxgq202508208-2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嘉兴市国鸿商务旅游客运有限公司旅游客运客车采购（标段二）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嘉兴市国鸿汽车运输有限公司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采购8.9米（柴油）系列旅游客运客车4辆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宇通客车股份有限公司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168万元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签订合同后31日历天内完成交货工作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2025年9月2日09:30时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月 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日-2025年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9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月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:lang w:val="en-US" w:eastAsia="zh-CN"/>
                <w14:ligatures w14:val="none"/>
              </w:rPr>
              <w:t>8</w:t>
            </w: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2975FB"/>
    <w:rsid w:val="002B03DB"/>
    <w:rsid w:val="00324527"/>
    <w:rsid w:val="00340A2E"/>
    <w:rsid w:val="003440A7"/>
    <w:rsid w:val="00360A90"/>
    <w:rsid w:val="003C28A3"/>
    <w:rsid w:val="00725212"/>
    <w:rsid w:val="00771199"/>
    <w:rsid w:val="007A2519"/>
    <w:rsid w:val="00876760"/>
    <w:rsid w:val="00CC5913"/>
    <w:rsid w:val="00CE2150"/>
    <w:rsid w:val="00CE3FCB"/>
    <w:rsid w:val="00DB5EA6"/>
    <w:rsid w:val="00E577BF"/>
    <w:rsid w:val="00EB551A"/>
    <w:rsid w:val="0C0A603A"/>
    <w:rsid w:val="3DC56006"/>
    <w:rsid w:val="7E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29</TotalTime>
  <ScaleCrop>false</ScaleCrop>
  <LinksUpToDate>false</LinksUpToDate>
  <CharactersWithSpaces>382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2024-08-23T14:15:00Z</dcterms:created>
  <dc:creator>L H</dc:creator>
  <cp:lastModifiedBy>沈益敏</cp:lastModifiedBy>
  <dcterms:modified xsi:type="dcterms:W3CDTF">2025-09-03T02:15:44Z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C74F3D92D21D4A7DB0C1BFE686953F94</vt:lpwstr>
  </property>
</Properties>
</file>